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AF1" w:rsidRDefault="00F61AF1" w:rsidP="002B05B4">
      <w:pPr>
        <w:ind w:firstLine="0"/>
        <w:rPr>
          <w:rFonts w:asciiTheme="minorHAnsi" w:hAnsiTheme="minorHAnsi"/>
          <w:sz w:val="22"/>
          <w:szCs w:val="22"/>
        </w:rPr>
      </w:pPr>
    </w:p>
    <w:tbl>
      <w:tblPr>
        <w:tblW w:w="918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8"/>
        <w:gridCol w:w="2257"/>
        <w:gridCol w:w="2398"/>
      </w:tblGrid>
      <w:tr w:rsidR="00FB7F76" w:rsidRPr="00A90AD8" w:rsidTr="00F11BB7">
        <w:trPr>
          <w:trHeight w:val="297"/>
        </w:trPr>
        <w:tc>
          <w:tcPr>
            <w:tcW w:w="6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117A90">
            <w:pPr>
              <w:ind w:firstLine="0"/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Změnový list</w:t>
            </w: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117A90">
            <w:pPr>
              <w:ind w:firstLine="0"/>
              <w:rPr>
                <w:rFonts w:asciiTheme="minorHAnsi" w:hAnsiTheme="minorHAnsi"/>
                <w:sz w:val="32"/>
                <w:szCs w:val="32"/>
              </w:rPr>
            </w:pPr>
            <w:r w:rsidRPr="00A90AD8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č. </w:t>
            </w: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ZL</w:t>
            </w:r>
            <w:r w:rsidR="00147BA7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 45</w:t>
            </w:r>
            <w:r w:rsidR="00AC785D">
              <w:rPr>
                <w:rFonts w:asciiTheme="minorHAnsi" w:hAnsiTheme="minorHAnsi"/>
                <w:b/>
                <w:bCs/>
                <w:sz w:val="32"/>
                <w:szCs w:val="32"/>
              </w:rPr>
              <w:t>a1</w:t>
            </w:r>
            <w:bookmarkStart w:id="0" w:name="_GoBack"/>
            <w:bookmarkEnd w:id="0"/>
          </w:p>
        </w:tc>
      </w:tr>
      <w:tr w:rsidR="00FB7F76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A33DAE" w:rsidRDefault="00A33DAE" w:rsidP="000B7365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Stavba : 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„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Revitalizace</w:t>
            </w:r>
            <w:proofErr w:type="gramEnd"/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Krumlov-oprava a rekonstrukce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Krumlov“    </w:t>
            </w:r>
          </w:p>
        </w:tc>
      </w:tr>
      <w:tr w:rsidR="00FB7F76" w:rsidRPr="00322C58" w:rsidTr="00F11BB7">
        <w:trPr>
          <w:trHeight w:val="297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8B27E8" w:rsidP="00117A90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Objednatel</w:t>
            </w:r>
            <w:r w:rsidR="00FB7F76"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: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Město Český Krumlov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náměstí Svornosti 1</w:t>
            </w:r>
          </w:p>
          <w:p w:rsidR="004A53CF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381 01 Český Krumlov</w:t>
            </w:r>
          </w:p>
          <w:p w:rsidR="00990E7C" w:rsidRPr="00990E7C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IČ: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00245836</w:t>
            </w:r>
            <w:r w:rsid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DIČ: CZ00245836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F76" w:rsidRPr="006070AE" w:rsidRDefault="00FB7F76" w:rsidP="000030F9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 w:rsidR="007335F4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0030F9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17.8.2015</w:t>
            </w:r>
            <w:proofErr w:type="gramEnd"/>
          </w:p>
        </w:tc>
      </w:tr>
      <w:tr w:rsidR="008B27E8" w:rsidRPr="00322C58" w:rsidTr="00F11BB7">
        <w:trPr>
          <w:trHeight w:val="137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70AE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Zhotovitel:</w:t>
            </w:r>
            <w:r w:rsidR="006070AE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8B27E8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POHL cz, a.s.</w:t>
            </w:r>
          </w:p>
          <w:p w:rsidR="006070AE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Nádražní 25</w:t>
            </w:r>
          </w:p>
          <w:p w:rsidR="006070AE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252 63 Roztoky</w:t>
            </w:r>
          </w:p>
          <w:p w:rsidR="00990E7C" w:rsidRPr="00990E7C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IČ: 25606468, DIČ: CZ25606468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7E8" w:rsidRPr="00322C58" w:rsidRDefault="008B27E8" w:rsidP="000030F9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 w:rsidR="007335F4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0030F9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17.8.2015</w:t>
            </w:r>
            <w:proofErr w:type="gramEnd"/>
          </w:p>
        </w:tc>
      </w:tr>
      <w:tr w:rsidR="008B27E8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05" w:rsidRPr="001B1BDF" w:rsidRDefault="00BA45D4" w:rsidP="00BA45D4">
            <w:pPr>
              <w:ind w:firstLine="0"/>
              <w:rPr>
                <w:rFonts w:asciiTheme="minorHAnsi" w:hAnsiTheme="minorHAnsi"/>
                <w:b/>
                <w:i/>
                <w:szCs w:val="22"/>
              </w:rPr>
            </w:pPr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V souladu s článkem 7. Smlouvy o dílo ze dne </w:t>
            </w:r>
            <w:proofErr w:type="gramStart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>30.4.2014</w:t>
            </w:r>
            <w:proofErr w:type="gramEnd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a na základě Vašeho pokynu Vám tímto předkládáme k potvrzení změnový list s nabídkovým, položkovým rozpočtem</w:t>
            </w:r>
            <w:r w:rsidR="00946DB9"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prací, které nebyly v projektové dokumentaci a vznikly v průběhu provádění prací.</w:t>
            </w:r>
          </w:p>
        </w:tc>
      </w:tr>
      <w:tr w:rsidR="00A33DAE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DAE" w:rsidRPr="00322C58" w:rsidRDefault="00A33DAE" w:rsidP="00745571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Část stavby (SO, PS):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45571">
              <w:rPr>
                <w:rFonts w:asciiTheme="minorHAnsi" w:hAnsiTheme="minorHAnsi"/>
                <w:b/>
                <w:i/>
                <w:sz w:val="22"/>
                <w:szCs w:val="22"/>
              </w:rPr>
              <w:t>Část - Profese - EZS</w:t>
            </w:r>
          </w:p>
        </w:tc>
      </w:tr>
      <w:tr w:rsidR="008B27E8" w:rsidRPr="00322C58" w:rsidTr="00F11BB7">
        <w:trPr>
          <w:trHeight w:val="963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039F" w:rsidRDefault="008B27E8" w:rsidP="004A039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Stávající stav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: </w:t>
            </w:r>
          </w:p>
          <w:p w:rsidR="00641F9D" w:rsidRDefault="00641F9D" w:rsidP="004A039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</w:p>
          <w:p w:rsidR="004A039F" w:rsidRPr="0062568A" w:rsidRDefault="004A039F" w:rsidP="004A039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62568A">
              <w:rPr>
                <w:i/>
                <w:sz w:val="22"/>
                <w:szCs w:val="22"/>
                <w:highlight w:val="yellow"/>
              </w:rPr>
              <w:t>Maximální kapacita systému dle PD:</w:t>
            </w:r>
          </w:p>
          <w:p w:rsidR="004A039F" w:rsidRPr="0062568A" w:rsidRDefault="004A039F" w:rsidP="004A039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62568A">
              <w:rPr>
                <w:b/>
                <w:sz w:val="22"/>
                <w:szCs w:val="22"/>
              </w:rPr>
              <w:t xml:space="preserve">2x ústředna </w:t>
            </w:r>
            <w:proofErr w:type="spellStart"/>
            <w:r w:rsidRPr="0062568A">
              <w:rPr>
                <w:b/>
                <w:sz w:val="22"/>
                <w:szCs w:val="22"/>
              </w:rPr>
              <w:t>Asset</w:t>
            </w:r>
            <w:proofErr w:type="spellEnd"/>
            <w:r w:rsidRPr="0062568A">
              <w:rPr>
                <w:b/>
                <w:sz w:val="22"/>
                <w:szCs w:val="22"/>
              </w:rPr>
              <w:t xml:space="preserve"> 808 (K1-1-003)</w:t>
            </w:r>
            <w:r w:rsidRPr="0062568A">
              <w:rPr>
                <w:sz w:val="22"/>
                <w:szCs w:val="22"/>
              </w:rPr>
              <w:t xml:space="preserve"> </w:t>
            </w:r>
          </w:p>
          <w:p w:rsidR="004A039F" w:rsidRPr="0062568A" w:rsidRDefault="004A039F" w:rsidP="004A039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62568A">
              <w:rPr>
                <w:sz w:val="22"/>
                <w:szCs w:val="22"/>
              </w:rPr>
              <w:t>tzn. 8 redundantních linek x 30 adres x 8 vstupů = 1920 vstupů (detektorů)</w:t>
            </w:r>
          </w:p>
          <w:p w:rsidR="00641F9D" w:rsidRPr="0062568A" w:rsidRDefault="004A039F" w:rsidP="00641F9D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62568A">
              <w:rPr>
                <w:b/>
                <w:sz w:val="22"/>
                <w:szCs w:val="22"/>
              </w:rPr>
              <w:t xml:space="preserve">2x ústředna </w:t>
            </w:r>
            <w:proofErr w:type="spellStart"/>
            <w:r w:rsidRPr="0062568A">
              <w:rPr>
                <w:b/>
                <w:sz w:val="22"/>
                <w:szCs w:val="22"/>
              </w:rPr>
              <w:t>Asset</w:t>
            </w:r>
            <w:proofErr w:type="spellEnd"/>
            <w:r w:rsidRPr="0062568A">
              <w:rPr>
                <w:b/>
                <w:sz w:val="22"/>
                <w:szCs w:val="22"/>
              </w:rPr>
              <w:t xml:space="preserve"> 804 (K2-1-028)</w:t>
            </w:r>
          </w:p>
          <w:p w:rsidR="00641F9D" w:rsidRPr="0062568A" w:rsidRDefault="004A039F" w:rsidP="00641F9D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62568A">
              <w:rPr>
                <w:sz w:val="22"/>
                <w:szCs w:val="22"/>
              </w:rPr>
              <w:t>tzn. 4 redundantní linky x 30 adres x 8 vstupů = 960 vstupů (detektorů)</w:t>
            </w:r>
          </w:p>
          <w:p w:rsidR="00641F9D" w:rsidRPr="0062568A" w:rsidRDefault="004A039F" w:rsidP="00641F9D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62568A">
              <w:rPr>
                <w:b/>
                <w:sz w:val="22"/>
                <w:szCs w:val="22"/>
              </w:rPr>
              <w:t xml:space="preserve">2x ústředna </w:t>
            </w:r>
            <w:proofErr w:type="spellStart"/>
            <w:r w:rsidRPr="0062568A">
              <w:rPr>
                <w:b/>
                <w:sz w:val="22"/>
                <w:szCs w:val="22"/>
              </w:rPr>
              <w:t>Asset</w:t>
            </w:r>
            <w:proofErr w:type="spellEnd"/>
            <w:r w:rsidRPr="0062568A">
              <w:rPr>
                <w:b/>
                <w:sz w:val="22"/>
                <w:szCs w:val="22"/>
              </w:rPr>
              <w:t xml:space="preserve"> 804 (Minorité)</w:t>
            </w:r>
          </w:p>
          <w:p w:rsidR="00641F9D" w:rsidRDefault="004A039F" w:rsidP="00641F9D">
            <w:pPr>
              <w:ind w:firstLine="0"/>
              <w:jc w:val="left"/>
              <w:rPr>
                <w:szCs w:val="22"/>
              </w:rPr>
            </w:pPr>
            <w:r w:rsidRPr="0062568A">
              <w:rPr>
                <w:sz w:val="22"/>
                <w:szCs w:val="22"/>
              </w:rPr>
              <w:t>tzn. 4 redundantní linky x 30 adres x 8 vstupů = 960 vstupů (detektorů)</w:t>
            </w:r>
          </w:p>
          <w:p w:rsidR="0062568A" w:rsidRPr="0062568A" w:rsidRDefault="0062568A" w:rsidP="00641F9D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</w:p>
          <w:p w:rsidR="00641F9D" w:rsidRPr="0062568A" w:rsidRDefault="004A039F" w:rsidP="00641F9D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62568A">
              <w:rPr>
                <w:sz w:val="22"/>
                <w:szCs w:val="22"/>
                <w:u w:val="single"/>
              </w:rPr>
              <w:t xml:space="preserve">Celkem tedy pro objekt K1,2,3,4 dle PD: 1920 + 960 = </w:t>
            </w:r>
            <w:r w:rsidRPr="0062568A">
              <w:rPr>
                <w:color w:val="FF0000"/>
                <w:sz w:val="22"/>
                <w:szCs w:val="22"/>
                <w:u w:val="single"/>
              </w:rPr>
              <w:t xml:space="preserve">2880 vstupů </w:t>
            </w:r>
            <w:r w:rsidRPr="0062568A">
              <w:rPr>
                <w:sz w:val="22"/>
                <w:szCs w:val="22"/>
                <w:u w:val="single"/>
              </w:rPr>
              <w:t>(pro klášter Sv. Kláry)</w:t>
            </w:r>
          </w:p>
          <w:p w:rsidR="004A039F" w:rsidRDefault="004A039F" w:rsidP="00641F9D">
            <w:pPr>
              <w:ind w:firstLine="0"/>
              <w:jc w:val="left"/>
              <w:rPr>
                <w:szCs w:val="22"/>
                <w:u w:val="single"/>
              </w:rPr>
            </w:pPr>
            <w:r w:rsidRPr="0062568A">
              <w:rPr>
                <w:sz w:val="22"/>
                <w:szCs w:val="22"/>
                <w:u w:val="single"/>
              </w:rPr>
              <w:t xml:space="preserve">Celkem tedy pro objekt Minoritů: </w:t>
            </w:r>
            <w:r w:rsidRPr="0062568A">
              <w:rPr>
                <w:color w:val="FF0000"/>
                <w:sz w:val="22"/>
                <w:szCs w:val="22"/>
                <w:u w:val="single"/>
              </w:rPr>
              <w:t>960 vstupů</w:t>
            </w:r>
            <w:r w:rsidRPr="0062568A">
              <w:rPr>
                <w:sz w:val="22"/>
                <w:szCs w:val="22"/>
                <w:u w:val="single"/>
              </w:rPr>
              <w:t xml:space="preserve"> (pro klášter Minoritů)</w:t>
            </w:r>
          </w:p>
          <w:p w:rsidR="008943EF" w:rsidRDefault="008943EF" w:rsidP="00641F9D">
            <w:pPr>
              <w:ind w:firstLine="0"/>
              <w:jc w:val="left"/>
              <w:rPr>
                <w:szCs w:val="22"/>
                <w:u w:val="single"/>
              </w:rPr>
            </w:pPr>
          </w:p>
          <w:p w:rsidR="00C521B5" w:rsidRPr="00C521B5" w:rsidRDefault="00C521B5" w:rsidP="00C521B5">
            <w:pPr>
              <w:pStyle w:val="Zkladntext"/>
              <w:spacing w:before="120" w:after="0"/>
              <w:ind w:firstLine="0"/>
              <w:rPr>
                <w:rFonts w:asciiTheme="minorHAnsi" w:hAnsiTheme="minorHAnsi"/>
                <w:b/>
                <w:snapToGrid/>
                <w:color w:val="000000"/>
                <w:sz w:val="20"/>
              </w:rPr>
            </w:pPr>
            <w:r>
              <w:rPr>
                <w:rFonts w:asciiTheme="minorHAnsi" w:hAnsiTheme="minorHAnsi"/>
                <w:b/>
                <w:snapToGrid/>
                <w:color w:val="000000"/>
                <w:sz w:val="20"/>
              </w:rPr>
              <w:t>Text PD</w:t>
            </w:r>
          </w:p>
          <w:p w:rsidR="008943EF" w:rsidRPr="00A71101" w:rsidRDefault="00A71101" w:rsidP="008943EF">
            <w:pPr>
              <w:pStyle w:val="Zkladntext"/>
              <w:spacing w:before="120" w:after="0"/>
              <w:ind w:firstLine="0"/>
              <w:rPr>
                <w:rFonts w:asciiTheme="minorHAnsi" w:hAnsiTheme="minorHAnsi"/>
                <w:snapToGrid/>
                <w:color w:val="000000"/>
                <w:sz w:val="20"/>
              </w:rPr>
            </w:pPr>
            <w:r>
              <w:rPr>
                <w:rFonts w:asciiTheme="minorHAnsi" w:hAnsiTheme="minorHAnsi"/>
                <w:snapToGrid/>
                <w:color w:val="000000"/>
                <w:sz w:val="20"/>
              </w:rPr>
              <w:t>Jako ústředna systému EZS byla</w:t>
            </w:r>
            <w:r w:rsidR="008943EF" w:rsidRPr="00A71101">
              <w:rPr>
                <w:rFonts w:asciiTheme="minorHAnsi" w:hAnsiTheme="minorHAnsi"/>
                <w:snapToGrid/>
                <w:color w:val="000000"/>
                <w:sz w:val="20"/>
              </w:rPr>
              <w:t xml:space="preserve"> navržena řídící jednotka typu </w:t>
            </w:r>
            <w:proofErr w:type="spellStart"/>
            <w:r w:rsidR="008943EF" w:rsidRPr="00A71101">
              <w:rPr>
                <w:rFonts w:asciiTheme="minorHAnsi" w:hAnsiTheme="minorHAnsi"/>
                <w:snapToGrid/>
                <w:color w:val="000000"/>
                <w:sz w:val="20"/>
              </w:rPr>
              <w:t>Asset</w:t>
            </w:r>
            <w:proofErr w:type="spellEnd"/>
            <w:r w:rsidR="008943EF" w:rsidRPr="00A71101">
              <w:rPr>
                <w:rFonts w:asciiTheme="minorHAnsi" w:hAnsiTheme="minorHAnsi"/>
                <w:snapToGrid/>
                <w:color w:val="000000"/>
                <w:sz w:val="20"/>
              </w:rPr>
              <w:t xml:space="preserve"> 808 – 8 linek (EZS 001),  kterou se navrhuje instalovat do místnosti slaboproudé rozvodny K1-1-003 ve 1. NP objektu K1 a dále řídící jednotka </w:t>
            </w:r>
            <w:proofErr w:type="spellStart"/>
            <w:r w:rsidR="008943EF" w:rsidRPr="00A71101">
              <w:rPr>
                <w:rFonts w:asciiTheme="minorHAnsi" w:hAnsiTheme="minorHAnsi"/>
                <w:snapToGrid/>
                <w:color w:val="000000"/>
                <w:sz w:val="20"/>
              </w:rPr>
              <w:t>Asset</w:t>
            </w:r>
            <w:proofErr w:type="spellEnd"/>
            <w:r w:rsidR="008943EF" w:rsidRPr="00A71101">
              <w:rPr>
                <w:rFonts w:asciiTheme="minorHAnsi" w:hAnsiTheme="minorHAnsi"/>
                <w:snapToGrid/>
                <w:color w:val="000000"/>
                <w:sz w:val="20"/>
              </w:rPr>
              <w:t xml:space="preserve"> (EZS 002), kterou se navrhuje instalovat do místnosti označené jako sklad </w:t>
            </w:r>
            <w:proofErr w:type="gramStart"/>
            <w:r w:rsidR="008943EF" w:rsidRPr="00A71101">
              <w:rPr>
                <w:rFonts w:asciiTheme="minorHAnsi" w:hAnsiTheme="minorHAnsi"/>
                <w:snapToGrid/>
                <w:color w:val="000000"/>
                <w:sz w:val="20"/>
              </w:rPr>
              <w:t>m.č.</w:t>
            </w:r>
            <w:proofErr w:type="gramEnd"/>
            <w:r w:rsidR="008943EF" w:rsidRPr="00A71101">
              <w:rPr>
                <w:rFonts w:asciiTheme="minorHAnsi" w:hAnsiTheme="minorHAnsi"/>
                <w:snapToGrid/>
                <w:color w:val="000000"/>
                <w:sz w:val="20"/>
              </w:rPr>
              <w:t xml:space="preserve"> K2-1-028 v 1. NP objektu K2.  </w:t>
            </w:r>
          </w:p>
          <w:p w:rsidR="008943EF" w:rsidRPr="00A71101" w:rsidRDefault="008943EF" w:rsidP="008943EF">
            <w:pPr>
              <w:pStyle w:val="Zkladntext"/>
              <w:spacing w:before="120" w:after="0"/>
              <w:ind w:firstLine="0"/>
              <w:rPr>
                <w:rFonts w:asciiTheme="minorHAnsi" w:hAnsiTheme="minorHAnsi"/>
                <w:snapToGrid/>
                <w:color w:val="000000"/>
                <w:sz w:val="20"/>
              </w:rPr>
            </w:pPr>
            <w:r w:rsidRPr="00A71101">
              <w:rPr>
                <w:rFonts w:asciiTheme="minorHAnsi" w:hAnsiTheme="minorHAnsi"/>
                <w:snapToGrid/>
                <w:color w:val="000000"/>
                <w:sz w:val="20"/>
              </w:rPr>
              <w:t xml:space="preserve">Ústředna EZS bude realizována dvěma řídícími jednotkami typu ASSET 808 (EZS001) resp. ASSET 804 (EZS002) v redundantním zapojení. Toto řešení zajišťuje záložní provoz při poruše. </w:t>
            </w:r>
          </w:p>
          <w:p w:rsidR="008943EF" w:rsidRPr="00A71101" w:rsidRDefault="008943EF" w:rsidP="008943EF">
            <w:pPr>
              <w:pStyle w:val="Zkladntext"/>
              <w:spacing w:before="120" w:after="0"/>
              <w:ind w:firstLine="0"/>
              <w:rPr>
                <w:rFonts w:asciiTheme="minorHAnsi" w:hAnsiTheme="minorHAnsi"/>
                <w:snapToGrid/>
                <w:color w:val="000000"/>
                <w:sz w:val="20"/>
              </w:rPr>
            </w:pPr>
            <w:r w:rsidRPr="00A71101">
              <w:rPr>
                <w:rFonts w:asciiTheme="minorHAnsi" w:hAnsiTheme="minorHAnsi"/>
                <w:snapToGrid/>
                <w:color w:val="000000"/>
                <w:sz w:val="20"/>
              </w:rPr>
              <w:t xml:space="preserve">Obě ústředny EZS (EZS001 a EZS002 – vždy dvě řídící jednotky ASSET808 resp. 804) budou připojeny do sítě </w:t>
            </w:r>
            <w:proofErr w:type="spellStart"/>
            <w:r w:rsidRPr="00A71101">
              <w:rPr>
                <w:rFonts w:asciiTheme="minorHAnsi" w:hAnsiTheme="minorHAnsi"/>
                <w:snapToGrid/>
                <w:color w:val="000000"/>
                <w:sz w:val="20"/>
              </w:rPr>
              <w:t>ethernet</w:t>
            </w:r>
            <w:proofErr w:type="spellEnd"/>
            <w:r w:rsidRPr="00A71101">
              <w:rPr>
                <w:rFonts w:asciiTheme="minorHAnsi" w:hAnsiTheme="minorHAnsi"/>
                <w:snapToGrid/>
                <w:color w:val="000000"/>
                <w:sz w:val="20"/>
              </w:rPr>
              <w:t xml:space="preserve"> EZS a do serveru EZS ASSET, který bude umístěn v racku 19“ 800x800  v místnosti </w:t>
            </w:r>
            <w:proofErr w:type="spellStart"/>
            <w:r w:rsidRPr="00A71101">
              <w:rPr>
                <w:rFonts w:asciiTheme="minorHAnsi" w:hAnsiTheme="minorHAnsi"/>
                <w:snapToGrid/>
                <w:color w:val="000000"/>
                <w:sz w:val="20"/>
              </w:rPr>
              <w:t>serverovny</w:t>
            </w:r>
            <w:proofErr w:type="spellEnd"/>
            <w:r w:rsidRPr="00A71101">
              <w:rPr>
                <w:rFonts w:asciiTheme="minorHAnsi" w:hAnsiTheme="minorHAnsi"/>
                <w:snapToGrid/>
                <w:color w:val="000000"/>
                <w:sz w:val="20"/>
              </w:rPr>
              <w:t xml:space="preserve"> – centrály EZS, EKV,EPS, UTO (K2-1-016). Bude využita optická trasa (v rámci optické sítě SKT - strukturované </w:t>
            </w:r>
            <w:proofErr w:type="gramStart"/>
            <w:r w:rsidRPr="00A71101">
              <w:rPr>
                <w:rFonts w:asciiTheme="minorHAnsi" w:hAnsiTheme="minorHAnsi"/>
                <w:snapToGrid/>
                <w:color w:val="000000"/>
                <w:sz w:val="20"/>
              </w:rPr>
              <w:t>kabeláže  technologie</w:t>
            </w:r>
            <w:proofErr w:type="gramEnd"/>
            <w:r w:rsidRPr="00A71101">
              <w:rPr>
                <w:rFonts w:asciiTheme="minorHAnsi" w:hAnsiTheme="minorHAnsi"/>
                <w:snapToGrid/>
                <w:color w:val="000000"/>
                <w:sz w:val="20"/>
              </w:rPr>
              <w:t xml:space="preserve">), budou osazeny O/E převodníky. </w:t>
            </w:r>
          </w:p>
          <w:p w:rsidR="008943EF" w:rsidRDefault="008943EF" w:rsidP="008943EF">
            <w:pPr>
              <w:pStyle w:val="Zkladntext"/>
              <w:spacing w:before="120" w:after="0"/>
              <w:ind w:firstLine="0"/>
              <w:rPr>
                <w:rFonts w:asciiTheme="minorHAnsi" w:hAnsiTheme="minorHAnsi"/>
                <w:snapToGrid/>
                <w:color w:val="000000"/>
                <w:sz w:val="20"/>
              </w:rPr>
            </w:pPr>
            <w:r w:rsidRPr="00A71101">
              <w:rPr>
                <w:rFonts w:asciiTheme="minorHAnsi" w:hAnsiTheme="minorHAnsi"/>
                <w:snapToGrid/>
                <w:color w:val="000000"/>
                <w:sz w:val="20"/>
              </w:rPr>
              <w:t xml:space="preserve">V rámci této stavby bude obdobně připojena i řídící jednotka </w:t>
            </w:r>
            <w:proofErr w:type="gramStart"/>
            <w:r w:rsidRPr="00A71101">
              <w:rPr>
                <w:rFonts w:asciiTheme="minorHAnsi" w:hAnsiTheme="minorHAnsi"/>
                <w:snapToGrid/>
                <w:color w:val="000000"/>
                <w:sz w:val="20"/>
              </w:rPr>
              <w:t>ASSET –a to</w:t>
            </w:r>
            <w:proofErr w:type="gramEnd"/>
            <w:r w:rsidRPr="00A71101">
              <w:rPr>
                <w:rFonts w:asciiTheme="minorHAnsi" w:hAnsiTheme="minorHAnsi"/>
                <w:snapToGrid/>
                <w:color w:val="000000"/>
                <w:sz w:val="20"/>
              </w:rPr>
              <w:t xml:space="preserve"> jako ústředna EZS 003, která je součástí projektu areálu minoritů a v rámci redundantního zapojení řídících jednotek tak bude doplněna jednou řídící jednotkou ASSET - stejného typu (</w:t>
            </w:r>
            <w:proofErr w:type="spellStart"/>
            <w:r w:rsidRPr="00A71101">
              <w:rPr>
                <w:rFonts w:asciiTheme="minorHAnsi" w:hAnsiTheme="minorHAnsi"/>
                <w:snapToGrid/>
                <w:color w:val="000000"/>
                <w:sz w:val="20"/>
              </w:rPr>
              <w:t>Asset</w:t>
            </w:r>
            <w:proofErr w:type="spellEnd"/>
            <w:r w:rsidRPr="00A71101">
              <w:rPr>
                <w:rFonts w:asciiTheme="minorHAnsi" w:hAnsiTheme="minorHAnsi"/>
                <w:snapToGrid/>
                <w:color w:val="000000"/>
                <w:sz w:val="20"/>
              </w:rPr>
              <w:t xml:space="preserve"> 804).</w:t>
            </w:r>
          </w:p>
          <w:p w:rsidR="008943EF" w:rsidRDefault="008943EF" w:rsidP="00641F9D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</w:p>
          <w:p w:rsidR="00010FE6" w:rsidRDefault="00010FE6" w:rsidP="00641F9D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</w:p>
          <w:p w:rsidR="00431C5B" w:rsidRPr="0062568A" w:rsidRDefault="00431C5B" w:rsidP="00641F9D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</w:p>
          <w:p w:rsidR="00117A90" w:rsidRPr="00745571" w:rsidRDefault="00831532" w:rsidP="00063A2A">
            <w:pPr>
              <w:ind w:firstLine="0"/>
              <w:rPr>
                <w:rFonts w:asciiTheme="minorHAnsi" w:eastAsia="Times New Roman" w:hAnsiTheme="minorHAnsi"/>
                <w:b/>
                <w:color w:val="FF0000"/>
                <w:sz w:val="20"/>
              </w:rPr>
            </w:pPr>
            <w:r>
              <w:rPr>
                <w:rFonts w:asciiTheme="minorHAnsi" w:eastAsia="Times New Roman" w:hAnsiTheme="minorHAnsi"/>
                <w:b/>
                <w:noProof/>
                <w:color w:val="FF0000"/>
                <w:sz w:val="20"/>
              </w:rPr>
              <w:lastRenderedPageBreak/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27305</wp:posOffset>
                  </wp:positionH>
                  <wp:positionV relativeFrom="paragraph">
                    <wp:posOffset>100965</wp:posOffset>
                  </wp:positionV>
                  <wp:extent cx="5692140" cy="5349240"/>
                  <wp:effectExtent l="0" t="0" r="0" b="0"/>
                  <wp:wrapSquare wrapText="bothSides"/>
                  <wp:docPr id="3" name="Obrázek 2" descr="Schema EZS_1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hema EZS_1.wmf"/>
                          <pic:cNvPicPr/>
                        </pic:nvPicPr>
                        <pic:blipFill>
                          <a:blip r:embed="rId7" cstate="print"/>
                          <a:srcRect l="23471" t="3887" r="40826" b="2438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92140" cy="5349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B27E8" w:rsidRPr="00322C58" w:rsidTr="00F11BB7">
        <w:trPr>
          <w:trHeight w:val="6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1F9D" w:rsidRDefault="008B27E8" w:rsidP="00641F9D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lastRenderedPageBreak/>
              <w:t>Navrhovaný stav: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641F9D" w:rsidRDefault="00641F9D" w:rsidP="00641F9D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</w:p>
          <w:p w:rsidR="00641F9D" w:rsidRPr="0062568A" w:rsidRDefault="00641F9D" w:rsidP="00641F9D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62568A">
              <w:rPr>
                <w:i/>
                <w:sz w:val="22"/>
                <w:szCs w:val="22"/>
                <w:highlight w:val="yellow"/>
              </w:rPr>
              <w:t>Nabízené řešení:</w:t>
            </w:r>
          </w:p>
          <w:p w:rsidR="00641F9D" w:rsidRPr="0062568A" w:rsidRDefault="00641F9D" w:rsidP="00641F9D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62568A">
              <w:rPr>
                <w:b/>
                <w:sz w:val="22"/>
                <w:szCs w:val="22"/>
              </w:rPr>
              <w:t xml:space="preserve">1x </w:t>
            </w:r>
            <w:proofErr w:type="spellStart"/>
            <w:r w:rsidRPr="0062568A">
              <w:rPr>
                <w:b/>
                <w:sz w:val="22"/>
                <w:szCs w:val="22"/>
              </w:rPr>
              <w:t>ustředna</w:t>
            </w:r>
            <w:proofErr w:type="spellEnd"/>
            <w:r w:rsidRPr="0062568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62568A">
              <w:rPr>
                <w:b/>
                <w:sz w:val="22"/>
                <w:szCs w:val="22"/>
              </w:rPr>
              <w:t>Dominus</w:t>
            </w:r>
            <w:proofErr w:type="spellEnd"/>
            <w:r w:rsidRPr="0062568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62568A">
              <w:rPr>
                <w:b/>
                <w:sz w:val="22"/>
                <w:szCs w:val="22"/>
              </w:rPr>
              <w:t>Millennium</w:t>
            </w:r>
            <w:proofErr w:type="spellEnd"/>
            <w:r w:rsidRPr="0062568A">
              <w:rPr>
                <w:b/>
                <w:sz w:val="22"/>
                <w:szCs w:val="22"/>
              </w:rPr>
              <w:t xml:space="preserve"> MU4N/R (K1,2,3,4)</w:t>
            </w:r>
          </w:p>
          <w:p w:rsidR="00641F9D" w:rsidRPr="0062568A" w:rsidRDefault="00641F9D" w:rsidP="00641F9D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62568A">
              <w:rPr>
                <w:sz w:val="22"/>
                <w:szCs w:val="22"/>
              </w:rPr>
              <w:t>tzn. 16 redundantních linek x 32 adres x 8 vstupů = 4096 vstupů (detektorů)</w:t>
            </w:r>
          </w:p>
          <w:p w:rsidR="00641F9D" w:rsidRPr="0062568A" w:rsidRDefault="00641F9D" w:rsidP="00641F9D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62568A">
              <w:rPr>
                <w:b/>
                <w:sz w:val="22"/>
                <w:szCs w:val="22"/>
              </w:rPr>
              <w:t xml:space="preserve">1x </w:t>
            </w:r>
            <w:proofErr w:type="spellStart"/>
            <w:r w:rsidRPr="0062568A">
              <w:rPr>
                <w:b/>
                <w:sz w:val="22"/>
                <w:szCs w:val="22"/>
              </w:rPr>
              <w:t>ustředna</w:t>
            </w:r>
            <w:proofErr w:type="spellEnd"/>
            <w:r w:rsidRPr="0062568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62568A">
              <w:rPr>
                <w:b/>
                <w:sz w:val="22"/>
                <w:szCs w:val="22"/>
              </w:rPr>
              <w:t>Dominus</w:t>
            </w:r>
            <w:proofErr w:type="spellEnd"/>
            <w:r w:rsidRPr="0062568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62568A">
              <w:rPr>
                <w:b/>
                <w:sz w:val="22"/>
                <w:szCs w:val="22"/>
              </w:rPr>
              <w:t>Millennium</w:t>
            </w:r>
            <w:proofErr w:type="spellEnd"/>
            <w:r w:rsidRPr="0062568A">
              <w:rPr>
                <w:b/>
                <w:sz w:val="22"/>
                <w:szCs w:val="22"/>
              </w:rPr>
              <w:t xml:space="preserve"> MU4N/R (Minorité)</w:t>
            </w:r>
          </w:p>
          <w:p w:rsidR="00641F9D" w:rsidRDefault="00641F9D" w:rsidP="00641F9D">
            <w:pPr>
              <w:ind w:firstLine="0"/>
              <w:jc w:val="left"/>
              <w:rPr>
                <w:szCs w:val="22"/>
              </w:rPr>
            </w:pPr>
            <w:r w:rsidRPr="0062568A">
              <w:rPr>
                <w:sz w:val="22"/>
                <w:szCs w:val="22"/>
              </w:rPr>
              <w:t>tzn. 16 redundantních linek x 32 adres x 8 vstupů = 4096 vstupů (detektorů)</w:t>
            </w:r>
          </w:p>
          <w:p w:rsidR="0062568A" w:rsidRPr="0062568A" w:rsidRDefault="0062568A" w:rsidP="00641F9D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</w:p>
          <w:p w:rsidR="00641F9D" w:rsidRPr="0062568A" w:rsidRDefault="00641F9D" w:rsidP="00641F9D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62568A">
              <w:rPr>
                <w:sz w:val="22"/>
                <w:szCs w:val="22"/>
                <w:u w:val="single"/>
              </w:rPr>
              <w:t xml:space="preserve">Celkem tedy pro objekt K1,2,3,4: </w:t>
            </w:r>
            <w:r w:rsidRPr="0062568A">
              <w:rPr>
                <w:color w:val="FF0000"/>
                <w:sz w:val="22"/>
                <w:szCs w:val="22"/>
                <w:u w:val="single"/>
              </w:rPr>
              <w:t xml:space="preserve">4096 vstupů </w:t>
            </w:r>
            <w:r w:rsidRPr="0062568A">
              <w:rPr>
                <w:sz w:val="22"/>
                <w:szCs w:val="22"/>
                <w:u w:val="single"/>
              </w:rPr>
              <w:t>(pro klášter Sv. Kláry)</w:t>
            </w:r>
          </w:p>
          <w:p w:rsidR="00641F9D" w:rsidRDefault="00641F9D" w:rsidP="00641F9D">
            <w:pPr>
              <w:ind w:firstLine="0"/>
              <w:jc w:val="left"/>
              <w:rPr>
                <w:szCs w:val="22"/>
                <w:u w:val="single"/>
              </w:rPr>
            </w:pPr>
            <w:r w:rsidRPr="0062568A">
              <w:rPr>
                <w:sz w:val="22"/>
                <w:szCs w:val="22"/>
                <w:u w:val="single"/>
              </w:rPr>
              <w:t xml:space="preserve">Celkem tedy pro objekt Minoritů: </w:t>
            </w:r>
            <w:r w:rsidRPr="0062568A">
              <w:rPr>
                <w:color w:val="FF0000"/>
                <w:sz w:val="22"/>
                <w:szCs w:val="22"/>
                <w:u w:val="single"/>
              </w:rPr>
              <w:t>4096 vstupů</w:t>
            </w:r>
            <w:r w:rsidRPr="0062568A">
              <w:rPr>
                <w:sz w:val="22"/>
                <w:szCs w:val="22"/>
                <w:u w:val="single"/>
              </w:rPr>
              <w:t xml:space="preserve"> (pro klášter Minoritů)</w:t>
            </w:r>
          </w:p>
          <w:p w:rsidR="00431C5B" w:rsidRDefault="00431C5B" w:rsidP="00641F9D">
            <w:pPr>
              <w:ind w:firstLine="0"/>
              <w:jc w:val="left"/>
              <w:rPr>
                <w:szCs w:val="22"/>
                <w:u w:val="single"/>
              </w:rPr>
            </w:pPr>
          </w:p>
          <w:p w:rsidR="00431C5B" w:rsidRDefault="00B70DC9" w:rsidP="00431C5B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Jako ústřednu</w:t>
            </w:r>
            <w:r w:rsidR="00431C5B">
              <w:rPr>
                <w:rFonts w:asciiTheme="minorHAnsi" w:hAnsiTheme="minorHAnsi"/>
                <w:color w:val="000000"/>
                <w:sz w:val="20"/>
              </w:rPr>
              <w:t xml:space="preserve"> systému EZS </w:t>
            </w:r>
            <w:r>
              <w:rPr>
                <w:rFonts w:asciiTheme="minorHAnsi" w:hAnsiTheme="minorHAnsi"/>
                <w:color w:val="000000"/>
                <w:sz w:val="20"/>
              </w:rPr>
              <w:t>navrhujeme instalovat</w:t>
            </w:r>
            <w:r w:rsidR="00431C5B" w:rsidRPr="005E1770">
              <w:rPr>
                <w:rFonts w:asciiTheme="minorHAnsi" w:eastAsia="Times New Roman" w:hAnsiTheme="minorHAnsi"/>
                <w:color w:val="000000"/>
                <w:sz w:val="20"/>
              </w:rPr>
              <w:t xml:space="preserve"> jednu </w:t>
            </w: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redundantní ústřednu </w:t>
            </w:r>
            <w:proofErr w:type="spellStart"/>
            <w:r w:rsidR="00FF1116">
              <w:rPr>
                <w:rFonts w:asciiTheme="minorHAnsi" w:eastAsia="Times New Roman" w:hAnsiTheme="minorHAnsi"/>
                <w:color w:val="000000"/>
                <w:sz w:val="20"/>
              </w:rPr>
              <w:t>Dominus</w:t>
            </w:r>
            <w:proofErr w:type="spellEnd"/>
            <w:r w:rsidR="00FF1116">
              <w:rPr>
                <w:rFonts w:asciiTheme="minorHAnsi" w:eastAsia="Times New Roman" w:hAnsiTheme="minorHAnsi"/>
                <w:color w:val="000000"/>
                <w:sz w:val="20"/>
              </w:rPr>
              <w:t xml:space="preserve"> </w:t>
            </w:r>
            <w:proofErr w:type="spellStart"/>
            <w:r w:rsidR="00FF1116">
              <w:rPr>
                <w:rFonts w:asciiTheme="minorHAnsi" w:eastAsia="Times New Roman" w:hAnsiTheme="minorHAnsi"/>
                <w:color w:val="000000"/>
                <w:sz w:val="20"/>
              </w:rPr>
              <w:t>Millennium</w:t>
            </w:r>
            <w:proofErr w:type="spellEnd"/>
            <w:r w:rsidR="00FF1116">
              <w:rPr>
                <w:rFonts w:asciiTheme="minorHAnsi" w:eastAsia="Times New Roman" w:hAnsiTheme="minorHAnsi"/>
                <w:color w:val="000000"/>
                <w:sz w:val="20"/>
              </w:rPr>
              <w:t xml:space="preserve"> MU4N/R (samostatná</w:t>
            </w:r>
            <w:r w:rsidR="00431C5B" w:rsidRPr="005E1770">
              <w:rPr>
                <w:rFonts w:asciiTheme="minorHAnsi" w:eastAsia="Times New Roman" w:hAnsiTheme="minorHAnsi"/>
                <w:color w:val="000000"/>
                <w:sz w:val="20"/>
              </w:rPr>
              <w:t xml:space="preserve"> sestav</w:t>
            </w:r>
            <w:r w:rsidR="00FF1116">
              <w:rPr>
                <w:rFonts w:asciiTheme="minorHAnsi" w:eastAsia="Times New Roman" w:hAnsiTheme="minorHAnsi"/>
                <w:color w:val="000000"/>
                <w:sz w:val="20"/>
              </w:rPr>
              <w:t>a</w:t>
            </w:r>
            <w:r w:rsidR="00431C5B" w:rsidRPr="005E1770">
              <w:rPr>
                <w:rFonts w:asciiTheme="minorHAnsi" w:eastAsia="Times New Roman" w:hAnsiTheme="minorHAnsi"/>
                <w:color w:val="000000"/>
                <w:sz w:val="20"/>
              </w:rPr>
              <w:t xml:space="preserve"> dvou fyzických ústředen MU4N vzájemně propojených v jeden automaticky funkční celek, který se na venek tváří jako jedna ústředna</w:t>
            </w:r>
            <w:r w:rsidR="00FF1116">
              <w:rPr>
                <w:rFonts w:asciiTheme="minorHAnsi" w:eastAsia="Times New Roman" w:hAnsiTheme="minorHAnsi"/>
                <w:color w:val="000000"/>
                <w:sz w:val="20"/>
              </w:rPr>
              <w:t xml:space="preserve"> - </w:t>
            </w:r>
            <w:r w:rsidR="00431C5B" w:rsidRPr="005E1770">
              <w:rPr>
                <w:rFonts w:asciiTheme="minorHAnsi" w:eastAsia="Times New Roman" w:hAnsiTheme="minorHAnsi"/>
                <w:color w:val="000000"/>
                <w:sz w:val="20"/>
              </w:rPr>
              <w:t xml:space="preserve">umístěno v jednom </w:t>
            </w:r>
            <w:r w:rsidR="00FF1116">
              <w:rPr>
                <w:rFonts w:asciiTheme="minorHAnsi" w:eastAsia="Times New Roman" w:hAnsiTheme="minorHAnsi"/>
                <w:color w:val="000000"/>
                <w:sz w:val="20"/>
              </w:rPr>
              <w:t xml:space="preserve">společném </w:t>
            </w:r>
            <w:r w:rsidR="00431C5B" w:rsidRPr="005E1770">
              <w:rPr>
                <w:rFonts w:asciiTheme="minorHAnsi" w:eastAsia="Times New Roman" w:hAnsiTheme="minorHAnsi"/>
                <w:color w:val="000000"/>
                <w:sz w:val="20"/>
              </w:rPr>
              <w:t>boxu). Tato jedna redundantní sestava je navržena jako společná pro celý areál Klarisek</w:t>
            </w:r>
            <w:r w:rsidR="006F2F03">
              <w:rPr>
                <w:rFonts w:asciiTheme="minorHAnsi" w:eastAsia="Times New Roman" w:hAnsiTheme="minorHAnsi"/>
                <w:color w:val="000000"/>
                <w:sz w:val="20"/>
              </w:rPr>
              <w:t xml:space="preserve"> (K1,2,3,4) s umístěním v místnosti slaboproudé rozvodny K1-1-003</w:t>
            </w:r>
            <w:r w:rsidR="003E79B5">
              <w:rPr>
                <w:rFonts w:asciiTheme="minorHAnsi" w:eastAsia="Times New Roman" w:hAnsiTheme="minorHAnsi"/>
                <w:color w:val="000000"/>
                <w:sz w:val="20"/>
              </w:rPr>
              <w:t>. Druhou ústřednu</w:t>
            </w:r>
            <w:r w:rsidR="00431C5B" w:rsidRPr="005E1770">
              <w:rPr>
                <w:rFonts w:asciiTheme="minorHAnsi" w:eastAsia="Times New Roman" w:hAnsiTheme="minorHAnsi"/>
                <w:color w:val="000000"/>
                <w:sz w:val="20"/>
              </w:rPr>
              <w:t xml:space="preserve"> stejného typu</w:t>
            </w:r>
            <w:r w:rsidR="00431C5B">
              <w:rPr>
                <w:rFonts w:asciiTheme="minorHAnsi" w:eastAsia="Times New Roman" w:hAnsiTheme="minorHAnsi"/>
                <w:color w:val="000000"/>
                <w:sz w:val="20"/>
              </w:rPr>
              <w:t xml:space="preserve"> a kapacity</w:t>
            </w:r>
            <w:r w:rsidR="00431C5B" w:rsidRPr="005E1770">
              <w:rPr>
                <w:rFonts w:asciiTheme="minorHAnsi" w:eastAsia="Times New Roman" w:hAnsiTheme="minorHAnsi"/>
                <w:color w:val="000000"/>
                <w:sz w:val="20"/>
              </w:rPr>
              <w:t xml:space="preserve"> </w:t>
            </w:r>
            <w:r w:rsidR="003E79B5">
              <w:rPr>
                <w:rFonts w:asciiTheme="minorHAnsi" w:eastAsia="Times New Roman" w:hAnsiTheme="minorHAnsi"/>
                <w:color w:val="000000"/>
                <w:sz w:val="20"/>
              </w:rPr>
              <w:t>navrhujeme umístit</w:t>
            </w:r>
            <w:r w:rsidR="00431C5B" w:rsidRPr="005E1770">
              <w:rPr>
                <w:rFonts w:asciiTheme="minorHAnsi" w:eastAsia="Times New Roman" w:hAnsiTheme="minorHAnsi"/>
                <w:color w:val="000000"/>
                <w:sz w:val="20"/>
              </w:rPr>
              <w:t xml:space="preserve"> na sousedním objektu kláštera Minoritů. Každá redundantní sestava (ústředna) bude připojena samostatně po vlastní trase plnohodnotně přímo, bez dalších požadavků na </w:t>
            </w:r>
            <w:r w:rsidR="00431C5B">
              <w:rPr>
                <w:rFonts w:asciiTheme="minorHAnsi" w:eastAsia="Times New Roman" w:hAnsiTheme="minorHAnsi"/>
                <w:color w:val="000000"/>
                <w:sz w:val="20"/>
              </w:rPr>
              <w:t xml:space="preserve">řídící </w:t>
            </w:r>
            <w:r w:rsidR="00431C5B" w:rsidRPr="005E1770">
              <w:rPr>
                <w:rFonts w:asciiTheme="minorHAnsi" w:eastAsia="Times New Roman" w:hAnsiTheme="minorHAnsi"/>
                <w:color w:val="000000"/>
                <w:sz w:val="20"/>
              </w:rPr>
              <w:t>server, do jednoho společného přenosového zařízení PČR.</w:t>
            </w:r>
            <w:r w:rsidR="000030F9">
              <w:rPr>
                <w:rFonts w:asciiTheme="minorHAnsi" w:eastAsia="Times New Roman" w:hAnsiTheme="minorHAnsi"/>
                <w:color w:val="000000"/>
                <w:sz w:val="20"/>
              </w:rPr>
              <w:t xml:space="preserve"> </w:t>
            </w:r>
            <w:r w:rsidR="000030F9" w:rsidRPr="005E1770">
              <w:rPr>
                <w:rFonts w:asciiTheme="minorHAnsi" w:eastAsia="Times New Roman" w:hAnsiTheme="minorHAnsi"/>
                <w:color w:val="000000"/>
                <w:sz w:val="20"/>
              </w:rPr>
              <w:t>Připojování těchto typů ústředen na PCO PČR je zcela bezpečné a schválené.</w:t>
            </w:r>
            <w:r w:rsidR="000030F9">
              <w:rPr>
                <w:rFonts w:asciiTheme="minorHAnsi" w:eastAsia="Times New Roman" w:hAnsiTheme="minorHAnsi"/>
                <w:color w:val="000000"/>
                <w:sz w:val="20"/>
              </w:rPr>
              <w:t xml:space="preserve"> </w:t>
            </w:r>
          </w:p>
          <w:p w:rsidR="000030F9" w:rsidRPr="00886B66" w:rsidRDefault="000030F9" w:rsidP="000030F9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 w:rsidRPr="005E1770">
              <w:rPr>
                <w:rFonts w:asciiTheme="minorHAnsi" w:eastAsia="Times New Roman" w:hAnsiTheme="minorHAnsi"/>
                <w:color w:val="000000"/>
                <w:sz w:val="20"/>
              </w:rPr>
              <w:lastRenderedPageBreak/>
              <w:t xml:space="preserve">Obě ústředny budou následně programově zaintegrovány do společné grafické nadstavby pro potřeby přehledné a operativní obsluhy a dohledu na pracovištích ostrahy. Nabídnuté obslužné klávesnice systému jsou oproti požadavkům PD vybaveny duálním bezkontaktním snímačem karet, kdy dokáží přečíst karty formátu EM 125 kHz a </w:t>
            </w:r>
            <w:proofErr w:type="spellStart"/>
            <w:r w:rsidRPr="005E1770">
              <w:rPr>
                <w:rFonts w:asciiTheme="minorHAnsi" w:eastAsia="Times New Roman" w:hAnsiTheme="minorHAnsi"/>
                <w:color w:val="000000"/>
                <w:sz w:val="20"/>
              </w:rPr>
              <w:t>Mifare</w:t>
            </w:r>
            <w:proofErr w:type="spellEnd"/>
            <w:r w:rsidRPr="005E1770">
              <w:rPr>
                <w:rFonts w:asciiTheme="minorHAnsi" w:eastAsia="Times New Roman" w:hAnsiTheme="minorHAnsi"/>
                <w:color w:val="000000"/>
                <w:sz w:val="20"/>
              </w:rPr>
              <w:t xml:space="preserve">, což umožňuje do budoucna využití většího portfolia komunikačních formátů karet, včetně stávajících karet v objektu školy. Navržené ovládací klávesnice dále umožňují jejich využití i jako docházkového terminálu s definováním až </w:t>
            </w:r>
            <w:proofErr w:type="gramStart"/>
            <w:r w:rsidRPr="005E1770">
              <w:rPr>
                <w:rFonts w:asciiTheme="minorHAnsi" w:eastAsia="Times New Roman" w:hAnsiTheme="minorHAnsi"/>
                <w:color w:val="000000"/>
                <w:sz w:val="20"/>
              </w:rPr>
              <w:t>20-ti</w:t>
            </w:r>
            <w:proofErr w:type="gramEnd"/>
            <w:r w:rsidRPr="005E1770">
              <w:rPr>
                <w:rFonts w:asciiTheme="minorHAnsi" w:eastAsia="Times New Roman" w:hAnsiTheme="minorHAnsi"/>
                <w:color w:val="000000"/>
                <w:sz w:val="20"/>
              </w:rPr>
              <w:t xml:space="preserve"> důvodů průchodu. Všechny ostatní požadavky PD na obsluhu a funkci systému zůstávají beze změny a systém </w:t>
            </w:r>
            <w:proofErr w:type="spellStart"/>
            <w:r w:rsidRPr="005E1770">
              <w:rPr>
                <w:rFonts w:asciiTheme="minorHAnsi" w:eastAsia="Times New Roman" w:hAnsiTheme="minorHAnsi"/>
                <w:color w:val="000000"/>
                <w:sz w:val="20"/>
              </w:rPr>
              <w:t>Dominus</w:t>
            </w:r>
            <w:proofErr w:type="spellEnd"/>
            <w:r w:rsidRPr="005E1770">
              <w:rPr>
                <w:rFonts w:asciiTheme="minorHAnsi" w:eastAsia="Times New Roman" w:hAnsiTheme="minorHAnsi"/>
                <w:color w:val="000000"/>
                <w:sz w:val="20"/>
              </w:rPr>
              <w:t xml:space="preserve"> je splňuje. Mechanické provedení ústředny je oproti projektu navrženo pro instalaci do 19“ datového rozvaděče, kdy dojde k technicky, servisně a bezpečnostně komfortnějšímu řešení než při instalaci jednotlivých boxů na zeď. Systém tedy splní minimální požadované parametry systému PZTS, uvedené v PD, v plném rozsahu. Tohle řešení s redundantním zapojením ústředen se používá pro velmi důležité objekty nejvyššího stupně zabezpečení.</w:t>
            </w:r>
          </w:p>
          <w:p w:rsidR="005C79E0" w:rsidRDefault="005C79E0" w:rsidP="00431C5B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</w:p>
          <w:p w:rsidR="00431C5B" w:rsidRPr="0062568A" w:rsidRDefault="00431C5B" w:rsidP="00641F9D">
            <w:pPr>
              <w:ind w:firstLine="0"/>
              <w:jc w:val="left"/>
              <w:rPr>
                <w:szCs w:val="22"/>
                <w:u w:val="single"/>
              </w:rPr>
            </w:pPr>
          </w:p>
          <w:p w:rsidR="00C73C05" w:rsidRPr="00745571" w:rsidRDefault="00444336" w:rsidP="00C9241A">
            <w:pPr>
              <w:ind w:firstLine="0"/>
              <w:rPr>
                <w:rFonts w:asciiTheme="minorHAnsi" w:eastAsia="Times New Roman" w:hAnsiTheme="minorHAnsi"/>
                <w:b/>
                <w:color w:val="FF0000"/>
                <w:sz w:val="20"/>
              </w:rPr>
            </w:pPr>
            <w:r>
              <w:rPr>
                <w:rFonts w:asciiTheme="minorHAnsi" w:eastAsia="Times New Roman" w:hAnsiTheme="minorHAnsi"/>
                <w:b/>
                <w:noProof/>
                <w:color w:val="FF0000"/>
                <w:sz w:val="20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27305</wp:posOffset>
                  </wp:positionH>
                  <wp:positionV relativeFrom="paragraph">
                    <wp:posOffset>97155</wp:posOffset>
                  </wp:positionV>
                  <wp:extent cx="5695950" cy="5255895"/>
                  <wp:effectExtent l="0" t="0" r="0" b="0"/>
                  <wp:wrapSquare wrapText="bothSides"/>
                  <wp:docPr id="4" name="Obrázek 3" descr="Schema EZS_2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hema EZS_2.wmf"/>
                          <pic:cNvPicPr/>
                        </pic:nvPicPr>
                        <pic:blipFill>
                          <a:blip r:embed="rId8" cstate="print"/>
                          <a:srcRect l="45951" t="15194" r="21818" b="2120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95950" cy="5255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B27E8" w:rsidRPr="00322C58" w:rsidTr="00F11BB7">
        <w:trPr>
          <w:trHeight w:val="3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F25D9" w:rsidRPr="002F25D9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lastRenderedPageBreak/>
              <w:t>Důvod změny: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886B66" w:rsidRDefault="00745571" w:rsidP="00886B66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Optimalizace systému EZS s ohledem na upřesnění způsobu užívání objektů</w:t>
            </w:r>
            <w:r w:rsidR="000030F9">
              <w:rPr>
                <w:rFonts w:asciiTheme="minorHAnsi" w:eastAsia="Times New Roman" w:hAnsiTheme="minorHAnsi"/>
                <w:color w:val="000000"/>
                <w:sz w:val="20"/>
              </w:rPr>
              <w:t xml:space="preserve"> poté, co došlo ke změnám v rámci partnerů projektu IOP (partner Městské divadlo převzal činnosti plánované jinými partnery) a došlo k upřesnění provozních požadavků systému EZS. Dalším důvodem je</w:t>
            </w: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 modernizace řešení systému s uplatněním možností technického rozvoje zařízení EZS</w:t>
            </w:r>
            <w:r w:rsidR="000030F9">
              <w:rPr>
                <w:rFonts w:asciiTheme="minorHAnsi" w:eastAsia="Times New Roman" w:hAnsiTheme="minorHAnsi"/>
                <w:color w:val="000000"/>
                <w:sz w:val="20"/>
              </w:rPr>
              <w:t xml:space="preserve"> s ohledem na skutečnost, že</w:t>
            </w: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 oproti době, ve které byla zpracována p</w:t>
            </w:r>
            <w:bookmarkStart w:id="1" w:name="OLE_LINK1"/>
            <w:bookmarkStart w:id="2" w:name="OLE_LINK2"/>
            <w:r w:rsidR="000030F9">
              <w:rPr>
                <w:rFonts w:asciiTheme="minorHAnsi" w:eastAsia="Times New Roman" w:hAnsiTheme="minorHAnsi"/>
                <w:color w:val="000000"/>
                <w:sz w:val="20"/>
              </w:rPr>
              <w:t xml:space="preserve">rováděcí projektová dokumentace 2010/2011 došlo k tomu, že některé komponenty systému EZS se již nevyrábí nebo jsou zastaralé a dochází k jejich stahování z trhu. Tyto komponenty by mohly do budoucna </w:t>
            </w:r>
            <w:r w:rsidR="000030F9">
              <w:rPr>
                <w:rFonts w:asciiTheme="minorHAnsi" w:eastAsia="Times New Roman" w:hAnsiTheme="minorHAnsi"/>
                <w:color w:val="000000"/>
                <w:sz w:val="20"/>
              </w:rPr>
              <w:lastRenderedPageBreak/>
              <w:t xml:space="preserve">způsobovat problémy při obsluze i servisu celého zařízení. V rámci změny dochází s ohledem na technický rozvoj a změnu zařízení </w:t>
            </w:r>
            <w:r w:rsidR="000030F9">
              <w:rPr>
                <w:rFonts w:asciiTheme="minorHAnsi" w:eastAsia="Times New Roman" w:hAnsiTheme="minorHAnsi"/>
                <w:color w:val="000000"/>
                <w:sz w:val="20"/>
              </w:rPr>
              <w:t>zlepšení technických parametrů systému</w:t>
            </w:r>
            <w:r w:rsidR="000030F9">
              <w:rPr>
                <w:rFonts w:asciiTheme="minorHAnsi" w:eastAsia="Times New Roman" w:hAnsiTheme="minorHAnsi"/>
                <w:color w:val="000000"/>
                <w:sz w:val="20"/>
              </w:rPr>
              <w:t xml:space="preserve">. Dále je provoz celého zařízení uživatelsky </w:t>
            </w:r>
            <w:r w:rsidR="00AC785D">
              <w:rPr>
                <w:rFonts w:asciiTheme="minorHAnsi" w:eastAsia="Times New Roman" w:hAnsiTheme="minorHAnsi"/>
                <w:color w:val="000000"/>
                <w:sz w:val="20"/>
              </w:rPr>
              <w:t>jednodušší a přehlednější i levnější. Při posuzování změny je nutné brát na zřetel i skutečnost, že v rámci dodávky dochází i k úspoře finančních prostředků a nejenom při dodávce zařízení, ale i následně v rámci provozní fáze. Změna je vedena tedy i s ohledem aspekt péče řádného hospodáře.</w:t>
            </w:r>
          </w:p>
          <w:bookmarkEnd w:id="1"/>
          <w:bookmarkEnd w:id="2"/>
          <w:p w:rsidR="00745571" w:rsidRPr="00990E7C" w:rsidRDefault="00745571" w:rsidP="000030F9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</w:p>
        </w:tc>
      </w:tr>
      <w:tr w:rsidR="008B27E8" w:rsidRPr="00322C58" w:rsidTr="00F11BB7">
        <w:trPr>
          <w:trHeight w:val="697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112DCC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 xml:space="preserve">Přílohy 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C73C05" w:rsidRPr="00990E7C" w:rsidRDefault="009E18CA" w:rsidP="00745571">
            <w:pPr>
              <w:ind w:firstLine="0"/>
              <w:rPr>
                <w:rFonts w:asciiTheme="minorHAnsi" w:hAnsiTheme="minorHAnsi"/>
                <w:sz w:val="20"/>
              </w:rPr>
            </w:pPr>
            <w:r w:rsidRPr="00990E7C">
              <w:rPr>
                <w:rFonts w:asciiTheme="minorHAnsi" w:hAnsiTheme="minorHAnsi"/>
                <w:sz w:val="20"/>
              </w:rPr>
              <w:t xml:space="preserve">Oceněný rozpočet s výkazem výměr, </w:t>
            </w:r>
            <w:r w:rsidR="00990E7C" w:rsidRPr="00990E7C">
              <w:rPr>
                <w:rFonts w:asciiTheme="minorHAnsi" w:hAnsiTheme="minorHAnsi"/>
                <w:sz w:val="20"/>
              </w:rPr>
              <w:t>zápisy z kontrolních dnů stavby včetně prezenčních listin</w:t>
            </w:r>
            <w:r w:rsidR="00F16B50">
              <w:rPr>
                <w:rFonts w:asciiTheme="minorHAnsi" w:hAnsiTheme="minorHAnsi"/>
                <w:sz w:val="20"/>
              </w:rPr>
              <w:t xml:space="preserve">, </w:t>
            </w:r>
            <w:r w:rsidR="00224227">
              <w:rPr>
                <w:rFonts w:asciiTheme="minorHAnsi" w:hAnsiTheme="minorHAnsi"/>
                <w:sz w:val="20"/>
              </w:rPr>
              <w:t xml:space="preserve">PD, </w:t>
            </w:r>
          </w:p>
        </w:tc>
      </w:tr>
      <w:tr w:rsidR="00DB48D5" w:rsidRPr="00322C58" w:rsidTr="007335F4">
        <w:trPr>
          <w:trHeight w:val="39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4EE4" w:rsidRPr="0059317C" w:rsidRDefault="00DB48D5" w:rsidP="00745571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Cena prací bez DPH: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  </w:t>
            </w:r>
            <w:r w:rsidR="00AC785D">
              <w:rPr>
                <w:rFonts w:asciiTheme="minorHAnsi" w:hAnsiTheme="minorHAnsi"/>
                <w:b/>
                <w:sz w:val="22"/>
                <w:szCs w:val="22"/>
              </w:rPr>
              <w:t>-42.435</w:t>
            </w:r>
            <w:r w:rsidR="00C9241A">
              <w:rPr>
                <w:rFonts w:asciiTheme="minorHAnsi" w:hAnsiTheme="minorHAnsi"/>
                <w:b/>
                <w:sz w:val="22"/>
                <w:szCs w:val="22"/>
              </w:rPr>
              <w:t>,- Kč</w:t>
            </w:r>
          </w:p>
        </w:tc>
      </w:tr>
      <w:tr w:rsidR="008B27E8" w:rsidRPr="00322C58" w:rsidTr="00F11BB7">
        <w:trPr>
          <w:trHeight w:val="41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CC" w:rsidRPr="007335F4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="00DB48D5">
              <w:rPr>
                <w:rFonts w:asciiTheme="minorHAnsi" w:hAnsiTheme="minorHAnsi"/>
                <w:b/>
                <w:sz w:val="22"/>
                <w:szCs w:val="22"/>
              </w:rPr>
              <w:t xml:space="preserve"> zpracoval</w:t>
            </w:r>
            <w:r w:rsidRPr="007335F4">
              <w:rPr>
                <w:rFonts w:asciiTheme="minorHAnsi" w:hAnsiTheme="minorHAnsi"/>
                <w:sz w:val="22"/>
                <w:szCs w:val="22"/>
              </w:rPr>
              <w:t xml:space="preserve">: </w:t>
            </w:r>
            <w:r w:rsidR="00AB7E25" w:rsidRPr="007335F4">
              <w:rPr>
                <w:rFonts w:asciiTheme="minorHAnsi" w:hAnsiTheme="minorHAnsi"/>
                <w:sz w:val="22"/>
                <w:szCs w:val="22"/>
              </w:rPr>
              <w:t xml:space="preserve">Ing. Lukáš Zrna, </w:t>
            </w:r>
          </w:p>
          <w:p w:rsidR="00DB48D5" w:rsidRPr="00DB48D5" w:rsidRDefault="00DB48D5" w:rsidP="00112DCC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e-mail</w:t>
            </w:r>
            <w:r w:rsidRPr="00DB48D5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hyperlink r:id="rId9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zrna@pohl.cz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hyperlink r:id="rId10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suss@pegisan.cz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2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8D5" w:rsidRDefault="008B27E8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Datum: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gramStart"/>
            <w:r w:rsidR="00AC785D">
              <w:rPr>
                <w:rFonts w:asciiTheme="minorHAnsi" w:hAnsiTheme="minorHAnsi"/>
                <w:b/>
                <w:sz w:val="22"/>
                <w:szCs w:val="22"/>
              </w:rPr>
              <w:t>17.8.2015</w:t>
            </w:r>
            <w:proofErr w:type="gramEnd"/>
          </w:p>
          <w:p w:rsidR="00DB48D5" w:rsidRPr="00322C58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B27E8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Vyjádření dotčených:</w:t>
            </w:r>
          </w:p>
        </w:tc>
      </w:tr>
      <w:tr w:rsidR="008B27E8" w:rsidRPr="00322C58" w:rsidTr="00F11BB7">
        <w:trPr>
          <w:trHeight w:val="911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zhotovitele: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 w:rsidRPr="007335F4">
              <w:rPr>
                <w:rFonts w:asciiTheme="minorHAnsi" w:hAnsiTheme="minorHAnsi"/>
                <w:sz w:val="22"/>
                <w:szCs w:val="22"/>
              </w:rPr>
              <w:t xml:space="preserve">Ing. Jan </w:t>
            </w:r>
            <w:proofErr w:type="spellStart"/>
            <w:r w:rsidR="007335F4" w:rsidRPr="007335F4">
              <w:rPr>
                <w:rFonts w:asciiTheme="minorHAnsi" w:hAnsiTheme="minorHAnsi"/>
                <w:sz w:val="22"/>
                <w:szCs w:val="22"/>
              </w:rPr>
              <w:t>Lapeš</w:t>
            </w:r>
            <w:proofErr w:type="spellEnd"/>
          </w:p>
          <w:p w:rsidR="008B27E8" w:rsidRPr="00322C58" w:rsidRDefault="008B27E8" w:rsidP="00AC785D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AC785D">
              <w:rPr>
                <w:rFonts w:asciiTheme="minorHAnsi" w:hAnsiTheme="minorHAnsi"/>
                <w:sz w:val="22"/>
                <w:szCs w:val="22"/>
              </w:rPr>
              <w:t>17.8.2015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objednatele: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8B27E8" w:rsidRDefault="00AB7E25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Mgr. Dalibor Carda – starosta města</w:t>
            </w:r>
          </w:p>
          <w:p w:rsidR="008B27E8" w:rsidRPr="00322C58" w:rsidRDefault="008B27E8" w:rsidP="00AC785D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59317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AC785D">
              <w:rPr>
                <w:rFonts w:asciiTheme="minorHAnsi" w:hAnsiTheme="minorHAnsi"/>
                <w:sz w:val="22"/>
                <w:szCs w:val="22"/>
              </w:rPr>
              <w:t>25.8.2015</w:t>
            </w:r>
            <w:proofErr w:type="gramEnd"/>
          </w:p>
        </w:tc>
      </w:tr>
      <w:tr w:rsidR="008B27E8" w:rsidRPr="00322C58" w:rsidTr="00F11BB7">
        <w:trPr>
          <w:trHeight w:val="686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990E7C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technický dozor:</w:t>
            </w:r>
            <w:r w:rsidR="009E08DA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9E08DA" w:rsidRPr="00990E7C">
              <w:rPr>
                <w:rFonts w:asciiTheme="minorHAnsi" w:hAnsiTheme="minorHAnsi"/>
                <w:sz w:val="22"/>
                <w:szCs w:val="22"/>
              </w:rPr>
              <w:t>Ing. Kateřina Slavíková</w:t>
            </w:r>
          </w:p>
          <w:p w:rsidR="008B27E8" w:rsidRPr="00322C58" w:rsidRDefault="008B27E8" w:rsidP="00AC785D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AC785D">
              <w:rPr>
                <w:rFonts w:asciiTheme="minorHAnsi" w:hAnsiTheme="minorHAnsi"/>
                <w:sz w:val="22"/>
                <w:szCs w:val="22"/>
              </w:rPr>
              <w:t>17.8.2015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autorský dozor: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="00745571" w:rsidRPr="00745571">
              <w:rPr>
                <w:rFonts w:asciiTheme="minorHAnsi" w:hAnsiTheme="minorHAnsi"/>
                <w:sz w:val="22"/>
                <w:szCs w:val="22"/>
              </w:rPr>
              <w:t>Bc. Václav Jankovský</w:t>
            </w:r>
          </w:p>
          <w:p w:rsidR="008B27E8" w:rsidRPr="00322C58" w:rsidRDefault="008B27E8" w:rsidP="00AC785D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AC785D">
              <w:rPr>
                <w:rFonts w:asciiTheme="minorHAnsi" w:hAnsiTheme="minorHAnsi"/>
                <w:sz w:val="22"/>
                <w:szCs w:val="22"/>
              </w:rPr>
              <w:t>25.8</w:t>
            </w:r>
            <w:r w:rsidR="00830E80">
              <w:rPr>
                <w:rFonts w:asciiTheme="minorHAnsi" w:hAnsiTheme="minorHAnsi"/>
                <w:sz w:val="22"/>
                <w:szCs w:val="22"/>
              </w:rPr>
              <w:t>.2015</w:t>
            </w:r>
            <w:proofErr w:type="gramEnd"/>
          </w:p>
        </w:tc>
      </w:tr>
      <w:tr w:rsidR="008B27E8" w:rsidRPr="00322C58" w:rsidTr="00F11BB7">
        <w:trPr>
          <w:trHeight w:val="40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112DCC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Přip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omínky k </w:t>
            </w:r>
            <w:proofErr w:type="gramStart"/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5640A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bez</w:t>
            </w:r>
            <w:proofErr w:type="gramEnd"/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připomínek</w:t>
            </w:r>
          </w:p>
        </w:tc>
      </w:tr>
    </w:tbl>
    <w:p w:rsidR="001C27A3" w:rsidRPr="00322C58" w:rsidRDefault="001C27A3" w:rsidP="00F11BB7">
      <w:pPr>
        <w:ind w:firstLine="0"/>
        <w:rPr>
          <w:rFonts w:asciiTheme="minorHAnsi" w:hAnsiTheme="minorHAnsi"/>
          <w:sz w:val="22"/>
          <w:szCs w:val="22"/>
        </w:rPr>
      </w:pPr>
    </w:p>
    <w:sectPr w:rsidR="001C27A3" w:rsidRPr="00322C58" w:rsidSect="00DA78B3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4894" w:rsidRDefault="004D4894" w:rsidP="004131CC">
      <w:r>
        <w:separator/>
      </w:r>
    </w:p>
  </w:endnote>
  <w:endnote w:type="continuationSeparator" w:id="0">
    <w:p w:rsidR="004D4894" w:rsidRDefault="004D4894" w:rsidP="00413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4894" w:rsidRDefault="004D4894" w:rsidP="004131CC">
      <w:r>
        <w:separator/>
      </w:r>
    </w:p>
  </w:footnote>
  <w:footnote w:type="continuationSeparator" w:id="0">
    <w:p w:rsidR="004D4894" w:rsidRDefault="004D4894" w:rsidP="00413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79E0" w:rsidRDefault="005C79E0" w:rsidP="004131CC">
    <w:pPr>
      <w:pStyle w:val="Zhlav"/>
      <w:ind w:firstLine="0"/>
    </w:pPr>
    <w:r>
      <w:rPr>
        <w:noProof/>
      </w:rPr>
      <w:drawing>
        <wp:inline distT="0" distB="0" distL="0" distR="0">
          <wp:extent cx="5760720" cy="614680"/>
          <wp:effectExtent l="0" t="0" r="0" b="0"/>
          <wp:docPr id="2" name="Obrázek 2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93DD4"/>
    <w:multiLevelType w:val="hybridMultilevel"/>
    <w:tmpl w:val="70EA403A"/>
    <w:lvl w:ilvl="0" w:tplc="6548168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6D60A7"/>
    <w:multiLevelType w:val="hybridMultilevel"/>
    <w:tmpl w:val="90F81DA0"/>
    <w:lvl w:ilvl="0" w:tplc="2D521B82">
      <w:start w:val="27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0735FD"/>
    <w:multiLevelType w:val="hybridMultilevel"/>
    <w:tmpl w:val="64429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D62233"/>
    <w:multiLevelType w:val="hybridMultilevel"/>
    <w:tmpl w:val="763413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4" w15:restartNumberingAfterBreak="0">
    <w:nsid w:val="66687713"/>
    <w:multiLevelType w:val="hybridMultilevel"/>
    <w:tmpl w:val="3E2447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E30731"/>
    <w:multiLevelType w:val="hybridMultilevel"/>
    <w:tmpl w:val="EBC8E7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5B4"/>
    <w:rsid w:val="000030F9"/>
    <w:rsid w:val="00010FE6"/>
    <w:rsid w:val="000134CF"/>
    <w:rsid w:val="00031CCE"/>
    <w:rsid w:val="0004241A"/>
    <w:rsid w:val="00044B88"/>
    <w:rsid w:val="00063A2A"/>
    <w:rsid w:val="000664D6"/>
    <w:rsid w:val="000B37BE"/>
    <w:rsid w:val="000B7365"/>
    <w:rsid w:val="000E3460"/>
    <w:rsid w:val="000F1C73"/>
    <w:rsid w:val="000F555D"/>
    <w:rsid w:val="00112DCC"/>
    <w:rsid w:val="00117A90"/>
    <w:rsid w:val="00147BA7"/>
    <w:rsid w:val="00163176"/>
    <w:rsid w:val="001643D8"/>
    <w:rsid w:val="0016707A"/>
    <w:rsid w:val="00193C93"/>
    <w:rsid w:val="00194F6B"/>
    <w:rsid w:val="001B1BDF"/>
    <w:rsid w:val="001C1F3B"/>
    <w:rsid w:val="001C27A3"/>
    <w:rsid w:val="001D2F8E"/>
    <w:rsid w:val="001E1123"/>
    <w:rsid w:val="001F332D"/>
    <w:rsid w:val="001F4B97"/>
    <w:rsid w:val="00220F71"/>
    <w:rsid w:val="00224227"/>
    <w:rsid w:val="00270702"/>
    <w:rsid w:val="00274AC4"/>
    <w:rsid w:val="00275018"/>
    <w:rsid w:val="00277493"/>
    <w:rsid w:val="00293728"/>
    <w:rsid w:val="002B05B4"/>
    <w:rsid w:val="002B0DE5"/>
    <w:rsid w:val="002B7855"/>
    <w:rsid w:val="002C299D"/>
    <w:rsid w:val="002F25D9"/>
    <w:rsid w:val="003003BE"/>
    <w:rsid w:val="00311608"/>
    <w:rsid w:val="00322C58"/>
    <w:rsid w:val="00323A7D"/>
    <w:rsid w:val="00324BC4"/>
    <w:rsid w:val="003313E3"/>
    <w:rsid w:val="00336448"/>
    <w:rsid w:val="00352A7E"/>
    <w:rsid w:val="00364AF6"/>
    <w:rsid w:val="003A1EB1"/>
    <w:rsid w:val="003A4EF3"/>
    <w:rsid w:val="003E79B5"/>
    <w:rsid w:val="004131CC"/>
    <w:rsid w:val="00431C5B"/>
    <w:rsid w:val="00444336"/>
    <w:rsid w:val="004575AE"/>
    <w:rsid w:val="0048160F"/>
    <w:rsid w:val="00497302"/>
    <w:rsid w:val="004A039F"/>
    <w:rsid w:val="004A53CF"/>
    <w:rsid w:val="004D4894"/>
    <w:rsid w:val="004F0937"/>
    <w:rsid w:val="005173F6"/>
    <w:rsid w:val="005640AE"/>
    <w:rsid w:val="00564513"/>
    <w:rsid w:val="0059317C"/>
    <w:rsid w:val="005941DD"/>
    <w:rsid w:val="00596FA7"/>
    <w:rsid w:val="005A33AC"/>
    <w:rsid w:val="005B3313"/>
    <w:rsid w:val="005C2212"/>
    <w:rsid w:val="005C79E0"/>
    <w:rsid w:val="005E1770"/>
    <w:rsid w:val="005F3E00"/>
    <w:rsid w:val="00603874"/>
    <w:rsid w:val="00603999"/>
    <w:rsid w:val="006070AE"/>
    <w:rsid w:val="0061461F"/>
    <w:rsid w:val="0062568A"/>
    <w:rsid w:val="00636FC9"/>
    <w:rsid w:val="00641F9D"/>
    <w:rsid w:val="0065370E"/>
    <w:rsid w:val="00654A43"/>
    <w:rsid w:val="00664EE4"/>
    <w:rsid w:val="00680AB9"/>
    <w:rsid w:val="006825C9"/>
    <w:rsid w:val="006A2AF5"/>
    <w:rsid w:val="006A73A9"/>
    <w:rsid w:val="006E6F49"/>
    <w:rsid w:val="006F2F03"/>
    <w:rsid w:val="00701164"/>
    <w:rsid w:val="007059DC"/>
    <w:rsid w:val="00713296"/>
    <w:rsid w:val="007335F4"/>
    <w:rsid w:val="00745571"/>
    <w:rsid w:val="00746F26"/>
    <w:rsid w:val="00786EE9"/>
    <w:rsid w:val="007973CB"/>
    <w:rsid w:val="007B7A79"/>
    <w:rsid w:val="007C1194"/>
    <w:rsid w:val="00830E80"/>
    <w:rsid w:val="00831532"/>
    <w:rsid w:val="00831763"/>
    <w:rsid w:val="00834DA2"/>
    <w:rsid w:val="00863C43"/>
    <w:rsid w:val="00865543"/>
    <w:rsid w:val="00886B66"/>
    <w:rsid w:val="008943EF"/>
    <w:rsid w:val="008A00FB"/>
    <w:rsid w:val="008B27E8"/>
    <w:rsid w:val="008B471C"/>
    <w:rsid w:val="008B68CE"/>
    <w:rsid w:val="008C3054"/>
    <w:rsid w:val="008E6E90"/>
    <w:rsid w:val="00901274"/>
    <w:rsid w:val="00917C98"/>
    <w:rsid w:val="00933C06"/>
    <w:rsid w:val="00946DB9"/>
    <w:rsid w:val="009548B1"/>
    <w:rsid w:val="009637BD"/>
    <w:rsid w:val="00980CB3"/>
    <w:rsid w:val="00990E7C"/>
    <w:rsid w:val="00992AA9"/>
    <w:rsid w:val="009A2689"/>
    <w:rsid w:val="009B46AC"/>
    <w:rsid w:val="009B704F"/>
    <w:rsid w:val="009E08DA"/>
    <w:rsid w:val="009E18CA"/>
    <w:rsid w:val="009E1BD5"/>
    <w:rsid w:val="009F2D79"/>
    <w:rsid w:val="009F4DF6"/>
    <w:rsid w:val="00A228E8"/>
    <w:rsid w:val="00A251FD"/>
    <w:rsid w:val="00A32191"/>
    <w:rsid w:val="00A33DAE"/>
    <w:rsid w:val="00A34844"/>
    <w:rsid w:val="00A47AB1"/>
    <w:rsid w:val="00A6553D"/>
    <w:rsid w:val="00A71101"/>
    <w:rsid w:val="00A827FA"/>
    <w:rsid w:val="00A90AD8"/>
    <w:rsid w:val="00A90FF2"/>
    <w:rsid w:val="00A9225F"/>
    <w:rsid w:val="00AA312A"/>
    <w:rsid w:val="00AB7E25"/>
    <w:rsid w:val="00AC785D"/>
    <w:rsid w:val="00AE3784"/>
    <w:rsid w:val="00B136A8"/>
    <w:rsid w:val="00B1749B"/>
    <w:rsid w:val="00B26F5B"/>
    <w:rsid w:val="00B43F47"/>
    <w:rsid w:val="00B624A8"/>
    <w:rsid w:val="00B70DC9"/>
    <w:rsid w:val="00B720D8"/>
    <w:rsid w:val="00B72534"/>
    <w:rsid w:val="00B924F9"/>
    <w:rsid w:val="00B96E50"/>
    <w:rsid w:val="00BA08AC"/>
    <w:rsid w:val="00BA45D4"/>
    <w:rsid w:val="00BD58F1"/>
    <w:rsid w:val="00C10696"/>
    <w:rsid w:val="00C20FFB"/>
    <w:rsid w:val="00C246F7"/>
    <w:rsid w:val="00C35D29"/>
    <w:rsid w:val="00C4483D"/>
    <w:rsid w:val="00C5171F"/>
    <w:rsid w:val="00C521B5"/>
    <w:rsid w:val="00C53153"/>
    <w:rsid w:val="00C613F0"/>
    <w:rsid w:val="00C71C7C"/>
    <w:rsid w:val="00C73C05"/>
    <w:rsid w:val="00C86589"/>
    <w:rsid w:val="00C9241A"/>
    <w:rsid w:val="00CD11A3"/>
    <w:rsid w:val="00CF5C69"/>
    <w:rsid w:val="00D01CA2"/>
    <w:rsid w:val="00D27DCD"/>
    <w:rsid w:val="00D408F5"/>
    <w:rsid w:val="00D50F4B"/>
    <w:rsid w:val="00D8222D"/>
    <w:rsid w:val="00DA2B30"/>
    <w:rsid w:val="00DA78B3"/>
    <w:rsid w:val="00DB23E3"/>
    <w:rsid w:val="00DB48D5"/>
    <w:rsid w:val="00E22E73"/>
    <w:rsid w:val="00E2376E"/>
    <w:rsid w:val="00E23CAF"/>
    <w:rsid w:val="00E542FF"/>
    <w:rsid w:val="00EA10C9"/>
    <w:rsid w:val="00EA42EA"/>
    <w:rsid w:val="00EB3DDD"/>
    <w:rsid w:val="00EC5DA9"/>
    <w:rsid w:val="00EE5DF6"/>
    <w:rsid w:val="00F115E9"/>
    <w:rsid w:val="00F11BB7"/>
    <w:rsid w:val="00F16B50"/>
    <w:rsid w:val="00F32FDA"/>
    <w:rsid w:val="00F5773E"/>
    <w:rsid w:val="00F61AF1"/>
    <w:rsid w:val="00F71CCC"/>
    <w:rsid w:val="00F75922"/>
    <w:rsid w:val="00FA1C42"/>
    <w:rsid w:val="00FB7F76"/>
    <w:rsid w:val="00FC2061"/>
    <w:rsid w:val="00FF1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65A24BA-016D-4F29-B763-4354779C6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Genev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B97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B68CE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F5C69"/>
    <w:pPr>
      <w:keepNext/>
      <w:keepLines/>
      <w:spacing w:before="200"/>
      <w:ind w:left="360" w:hanging="360"/>
      <w:outlineLvl w:val="2"/>
    </w:pPr>
    <w:rPr>
      <w:rFonts w:eastAsiaTheme="majorEastAsia" w:cstheme="majorBidi"/>
      <w:b/>
      <w:bCs/>
      <w:color w:val="548DD4" w:themeColor="text2" w:themeTint="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CF5C69"/>
    <w:rPr>
      <w:rFonts w:ascii="Times New Roman" w:eastAsiaTheme="majorEastAsia" w:hAnsi="Times New Roman" w:cstheme="majorBidi"/>
      <w:b/>
      <w:bCs/>
      <w:color w:val="548DD4" w:themeColor="text2" w:themeTint="99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B68CE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1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1CC"/>
    <w:rPr>
      <w:rFonts w:ascii="Tahoma" w:hAnsi="Tahoma" w:cs="Tahoma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220F71"/>
    <w:rPr>
      <w:b/>
      <w:bCs/>
    </w:rPr>
  </w:style>
  <w:style w:type="paragraph" w:styleId="Odstavecseseznamem">
    <w:name w:val="List Paragraph"/>
    <w:basedOn w:val="Normln"/>
    <w:uiPriority w:val="34"/>
    <w:qFormat/>
    <w:rsid w:val="008E6E9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90E7C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semiHidden/>
    <w:rsid w:val="008943EF"/>
    <w:rPr>
      <w:sz w:val="16"/>
    </w:rPr>
  </w:style>
  <w:style w:type="paragraph" w:styleId="Zkladntext">
    <w:name w:val="Body Text"/>
    <w:basedOn w:val="Normln"/>
    <w:link w:val="ZkladntextChar"/>
    <w:rsid w:val="008943EF"/>
    <w:pPr>
      <w:spacing w:after="120"/>
    </w:pPr>
    <w:rPr>
      <w:rFonts w:ascii="Arial" w:eastAsia="Times New Roman" w:hAnsi="Arial"/>
      <w:snapToGrid w:val="0"/>
      <w:sz w:val="22"/>
    </w:rPr>
  </w:style>
  <w:style w:type="character" w:customStyle="1" w:styleId="ZkladntextChar">
    <w:name w:val="Základní text Char"/>
    <w:basedOn w:val="Standardnpsmoodstavce"/>
    <w:link w:val="Zkladntext"/>
    <w:rsid w:val="008943EF"/>
    <w:rPr>
      <w:rFonts w:ascii="Arial" w:eastAsia="Times New Roman" w:hAnsi="Arial" w:cs="Times New Roman"/>
      <w:snapToGrid w:val="0"/>
      <w:szCs w:val="20"/>
      <w:lang w:eastAsia="cs-CZ"/>
    </w:rPr>
  </w:style>
  <w:style w:type="paragraph" w:styleId="Textkomente">
    <w:name w:val="annotation text"/>
    <w:basedOn w:val="Normln"/>
    <w:link w:val="TextkomenteChar"/>
    <w:semiHidden/>
    <w:rsid w:val="008943EF"/>
    <w:pPr>
      <w:ind w:firstLine="0"/>
      <w:jc w:val="left"/>
    </w:pPr>
    <w:rPr>
      <w:rFonts w:ascii="Arial" w:eastAsia="Times New Roman" w:hAnsi="Arial"/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8943EF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suss@pegisan.c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zrna@pohl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930</Words>
  <Characters>5487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Allowance s.r.o.</Company>
  <LinksUpToDate>false</LinksUpToDate>
  <CharactersWithSpaces>6405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tetikova</dc:creator>
  <cp:lastModifiedBy>user</cp:lastModifiedBy>
  <cp:revision>9</cp:revision>
  <cp:lastPrinted>2015-07-15T09:04:00Z</cp:lastPrinted>
  <dcterms:created xsi:type="dcterms:W3CDTF">2015-07-15T07:58:00Z</dcterms:created>
  <dcterms:modified xsi:type="dcterms:W3CDTF">2015-08-25T04:11:00Z</dcterms:modified>
</cp:coreProperties>
</file>